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3477B73" w14:textId="77777777" w:rsidTr="0041512A">
        <w:tc>
          <w:tcPr>
            <w:tcW w:w="2263" w:type="dxa"/>
          </w:tcPr>
          <w:p w14:paraId="2498D9DA" w14:textId="65895A77" w:rsidR="005B4008" w:rsidRPr="005B4008" w:rsidRDefault="00E92D29" w:rsidP="0041512A">
            <w:pPr>
              <w:spacing w:before="120" w:after="120"/>
              <w:rPr>
                <w:b/>
                <w:color w:val="0000FF"/>
                <w:sz w:val="24"/>
                <w:szCs w:val="24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 w:rsidR="00F123E4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="00101C27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16EA4522" w14:textId="77777777" w:rsidR="0041512A" w:rsidRPr="00F850A2" w:rsidRDefault="007765BD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Partecipazione a parco divertimenti</w:t>
            </w:r>
          </w:p>
        </w:tc>
        <w:tc>
          <w:tcPr>
            <w:tcW w:w="1979" w:type="dxa"/>
          </w:tcPr>
          <w:p w14:paraId="346AE106" w14:textId="2B2C034C" w:rsidR="0041512A" w:rsidRPr="0041512A" w:rsidRDefault="001F7502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B17BCF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47EB98A7" w14:textId="77777777" w:rsidTr="0041512A">
        <w:tc>
          <w:tcPr>
            <w:tcW w:w="9629" w:type="dxa"/>
            <w:gridSpan w:val="3"/>
          </w:tcPr>
          <w:p w14:paraId="68579D34" w14:textId="4AF1B747" w:rsidR="00F33A15" w:rsidRPr="00B17BCF" w:rsidRDefault="00B17BCF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B17BCF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436B71A" w14:textId="77777777" w:rsidR="007765BD" w:rsidRPr="00447922" w:rsidRDefault="007765BD" w:rsidP="007765BD">
            <w:pPr>
              <w:ind w:left="17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4792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Il presente procedimento si applica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la partecipazione in Parco divertimenti o Luna Park delle seguenti attrazioni</w:t>
            </w:r>
            <w:r w:rsidRPr="0044792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  </w:t>
            </w:r>
            <w:r w:rsidRPr="0044792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ab/>
            </w:r>
          </w:p>
          <w:p w14:paraId="421B1771" w14:textId="77777777" w:rsidR="007765BD" w:rsidRPr="00447922" w:rsidRDefault="007765BD" w:rsidP="007765BD">
            <w:pPr>
              <w:ind w:left="174" w:right="312"/>
              <w:jc w:val="both"/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</w:pPr>
            <w:r w:rsidRPr="00447922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Sezione I</w:t>
            </w:r>
            <w:r w:rsidRPr="0044792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  - Attrazioni piccole, medie e grandi</w:t>
            </w:r>
          </w:p>
          <w:p w14:paraId="245F3054" w14:textId="77777777" w:rsidR="007765BD" w:rsidRPr="00447922" w:rsidRDefault="007765BD" w:rsidP="007765BD">
            <w:pPr>
              <w:ind w:left="17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447922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Sezione </w:t>
            </w:r>
            <w:proofErr w:type="gramStart"/>
            <w:r w:rsidRPr="00447922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II </w:t>
            </w:r>
            <w:r w:rsidRPr="0044792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-</w:t>
            </w:r>
            <w:proofErr w:type="gramEnd"/>
            <w:r w:rsidRPr="0044792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Balli a palchetto</w:t>
            </w:r>
          </w:p>
          <w:p w14:paraId="72CDDE07" w14:textId="77777777" w:rsidR="007765BD" w:rsidRPr="00447922" w:rsidRDefault="007765BD" w:rsidP="007765BD">
            <w:pPr>
              <w:ind w:left="17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447922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Sezione III </w:t>
            </w:r>
            <w:r w:rsidRPr="0044792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Teatrini di burattini (marionette)</w:t>
            </w:r>
          </w:p>
          <w:p w14:paraId="5ECBB8BD" w14:textId="77777777" w:rsidR="007765BD" w:rsidRPr="00447922" w:rsidRDefault="007765BD" w:rsidP="007765BD">
            <w:pPr>
              <w:ind w:left="17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447922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Sezione IV </w:t>
            </w:r>
            <w:r w:rsidRPr="0044792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 Arene ginnastiche</w:t>
            </w:r>
          </w:p>
          <w:p w14:paraId="487B10CA" w14:textId="77777777" w:rsidR="007765BD" w:rsidRPr="00447922" w:rsidRDefault="007765BD" w:rsidP="007765BD">
            <w:pPr>
              <w:ind w:left="174" w:right="312"/>
              <w:jc w:val="both"/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44792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Come definiti </w:t>
            </w:r>
            <w:r w:rsidRPr="007765B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nell'</w:t>
            </w:r>
            <w:hyperlink r:id="rId6" w:tgtFrame="_blank" w:history="1">
              <w:r w:rsidRPr="007765BD">
                <w:rPr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elenco delle attrazioni riconosciute</w:t>
              </w:r>
            </w:hyperlink>
            <w:r w:rsidRPr="007765B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 istituito </w:t>
            </w:r>
            <w:r w:rsidRPr="0044792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sulla base della </w:t>
            </w:r>
            <w:r w:rsidRPr="00447922">
              <w:rPr>
                <w:rFonts w:eastAsia="Times New Roman"/>
                <w:sz w:val="20"/>
                <w:szCs w:val="20"/>
                <w:lang w:eastAsia="it-IT"/>
              </w:rPr>
              <w:fldChar w:fldCharType="begin"/>
            </w:r>
            <w:r w:rsidRPr="0044792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instrText>HYPERLINK "C:\\S.STEFANO TICINO\\3 Procedimenti\\6 Settore Spettacolo viaggiante\\Definizioni\\L_337_68.pdf" \t "_blank"</w:instrText>
            </w:r>
            <w:r w:rsidRPr="00447922">
              <w:rPr>
                <w:rFonts w:eastAsia="Times New Roman"/>
                <w:sz w:val="20"/>
                <w:szCs w:val="20"/>
                <w:lang w:eastAsia="it-IT"/>
              </w:rPr>
              <w:fldChar w:fldCharType="separate"/>
            </w:r>
            <w:r w:rsidRPr="00447922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Legge n. 337</w:t>
            </w:r>
            <w:r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/68</w:t>
            </w:r>
            <w:r w:rsidRPr="00447922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 </w:t>
            </w:r>
          </w:p>
          <w:p w14:paraId="343FDEF7" w14:textId="77777777" w:rsidR="00D401E7" w:rsidRDefault="007765BD" w:rsidP="007765BD">
            <w:pPr>
              <w:ind w:left="174" w:right="312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  <w:r w:rsidRPr="00447922">
              <w:rPr>
                <w:rFonts w:eastAsia="Times New Roman"/>
                <w:sz w:val="20"/>
                <w:szCs w:val="20"/>
                <w:lang w:eastAsia="it-IT"/>
              </w:rPr>
              <w:fldChar w:fldCharType="end"/>
            </w:r>
          </w:p>
          <w:p w14:paraId="138CEE49" w14:textId="77777777" w:rsidR="00B17BCF" w:rsidRPr="00AB4C12" w:rsidRDefault="00B17BCF" w:rsidP="00B17BCF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09E3053" w14:textId="42652F6D" w:rsidR="00B17BCF" w:rsidRPr="001B30C5" w:rsidRDefault="001F7502" w:rsidP="00B17BCF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B17BCF" w:rsidRPr="00B340D1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6FB0B6C4" w14:textId="77777777" w:rsidR="00B17BCF" w:rsidRPr="00E8526E" w:rsidRDefault="00B17BCF" w:rsidP="00B17BCF">
            <w:pPr>
              <w:pStyle w:val="Paragrafoelenco"/>
              <w:spacing w:before="120" w:after="120"/>
              <w:ind w:left="524"/>
              <w:rPr>
                <w:rFonts w:eastAsia="Times New Roman"/>
                <w:color w:val="0000FF"/>
                <w:sz w:val="12"/>
                <w:szCs w:val="12"/>
                <w:lang w:eastAsia="it-IT"/>
              </w:rPr>
            </w:pPr>
          </w:p>
          <w:p w14:paraId="35909E70" w14:textId="77777777" w:rsidR="00B17BCF" w:rsidRPr="00B17BCF" w:rsidRDefault="00B17BCF" w:rsidP="00B17BCF">
            <w:pPr>
              <w:pStyle w:val="Paragrafoelenco"/>
              <w:numPr>
                <w:ilvl w:val="0"/>
                <w:numId w:val="10"/>
              </w:numPr>
              <w:tabs>
                <w:tab w:val="left" w:pos="9094"/>
              </w:tabs>
              <w:ind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17BCF">
              <w:rPr>
                <w:b/>
                <w:color w:val="FF0000"/>
                <w:sz w:val="24"/>
                <w:szCs w:val="24"/>
                <w:u w:val="none"/>
              </w:rPr>
              <w:t xml:space="preserve">Requisiti </w:t>
            </w:r>
            <w:r w:rsidRPr="00B17BCF">
              <w:rPr>
                <w:b/>
                <w:bCs/>
                <w:color w:val="FF0000"/>
                <w:sz w:val="24"/>
                <w:szCs w:val="24"/>
                <w:u w:val="none"/>
              </w:rPr>
              <w:t>oggettivi</w:t>
            </w:r>
            <w:r w:rsidRPr="00B17BCF">
              <w:rPr>
                <w:b/>
                <w:color w:val="FF0000"/>
                <w:sz w:val="24"/>
                <w:szCs w:val="24"/>
                <w:u w:val="none"/>
              </w:rPr>
              <w:t xml:space="preserve"> - </w:t>
            </w:r>
            <w:r w:rsidRPr="00B17BC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installare le </w:t>
            </w:r>
            <w:proofErr w:type="gramStart"/>
            <w:r w:rsidRPr="00B17BC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predette</w:t>
            </w:r>
            <w:proofErr w:type="gramEnd"/>
            <w:r w:rsidRPr="00B17BC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attività occorre</w:t>
            </w:r>
            <w:r w:rsidRPr="00B17BCF">
              <w:rPr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B17BCF">
              <w:rPr>
                <w:color w:val="auto"/>
                <w:sz w:val="20"/>
                <w:szCs w:val="20"/>
                <w:u w:val="none"/>
              </w:rPr>
              <w:t>possedere la prescritta licenza rilasciata ai sensi dell’art. 69 del TULPS, e le attrezzature devono essere tutte certificate e munite di codice di registrazione.</w:t>
            </w:r>
          </w:p>
          <w:p w14:paraId="7E50F0A4" w14:textId="77777777" w:rsidR="00B17BCF" w:rsidRPr="00B17BCF" w:rsidRDefault="00B17BCF" w:rsidP="00B17BCF">
            <w:pPr>
              <w:pStyle w:val="Paragrafoelenco"/>
              <w:spacing w:after="120"/>
              <w:ind w:left="524" w:right="312"/>
              <w:jc w:val="both"/>
              <w:rPr>
                <w:rFonts w:eastAsia="Times New Roman"/>
                <w:color w:val="0000FF"/>
                <w:sz w:val="12"/>
                <w:szCs w:val="12"/>
                <w:u w:val="none"/>
                <w:lang w:eastAsia="it-IT"/>
              </w:rPr>
            </w:pPr>
          </w:p>
          <w:p w14:paraId="5DEDA0BC" w14:textId="77777777" w:rsidR="00B17BCF" w:rsidRPr="00B17BCF" w:rsidRDefault="00B17BCF" w:rsidP="00CF5E68">
            <w:pPr>
              <w:pStyle w:val="Paragrafoelenco"/>
              <w:numPr>
                <w:ilvl w:val="0"/>
                <w:numId w:val="10"/>
              </w:numPr>
              <w:spacing w:after="120"/>
              <w:ind w:right="312"/>
              <w:jc w:val="both"/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</w:pPr>
            <w:r w:rsidRPr="00B17BCF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Prevenzione incendi - </w:t>
            </w:r>
            <w:r w:rsidRPr="00B17BCF">
              <w:rPr>
                <w:color w:val="auto"/>
                <w:sz w:val="20"/>
                <w:szCs w:val="20"/>
                <w:u w:val="none"/>
              </w:rPr>
              <w:t xml:space="preserve">Se lo spettacolo viaggiante ha una capacità inferiore alle 200 persone occorre presentare la SCIA di prevenzione incendi compilando il dovuto Modulo allegandolo alla </w:t>
            </w:r>
            <w:r w:rsidRPr="00B17BCF">
              <w:rPr>
                <w:b/>
                <w:color w:val="auto"/>
                <w:sz w:val="20"/>
                <w:szCs w:val="20"/>
                <w:u w:val="none"/>
              </w:rPr>
              <w:t>SCIA UNICA</w:t>
            </w:r>
            <w:r w:rsidRPr="00B17BCF">
              <w:rPr>
                <w:color w:val="auto"/>
                <w:sz w:val="20"/>
                <w:szCs w:val="20"/>
                <w:u w:val="none"/>
              </w:rPr>
              <w:t xml:space="preserve"> che è trasmesso dal SUAP al Comando Provinciale VVF. </w:t>
            </w:r>
            <w:r w:rsidRPr="00B17BCF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        </w:t>
            </w:r>
          </w:p>
          <w:p w14:paraId="4F51C061" w14:textId="183254D8" w:rsidR="00B17BCF" w:rsidRPr="00B17BCF" w:rsidRDefault="00B17BCF" w:rsidP="00B17BCF">
            <w:pPr>
              <w:pStyle w:val="Paragrafoelenco"/>
              <w:spacing w:after="120"/>
              <w:ind w:left="524" w:right="312"/>
              <w:jc w:val="both"/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B17BCF">
              <w:rPr>
                <w:b/>
                <w:bCs/>
                <w:color w:val="auto"/>
                <w:sz w:val="20"/>
                <w:szCs w:val="20"/>
                <w:u w:val="none"/>
              </w:rPr>
              <w:t>Se supera le 200 persone</w:t>
            </w:r>
            <w:r w:rsidRPr="00B17BCF">
              <w:rPr>
                <w:color w:val="auto"/>
                <w:sz w:val="20"/>
                <w:szCs w:val="20"/>
                <w:u w:val="none"/>
              </w:rPr>
              <w:t xml:space="preserve"> l’istanza di autorizzazione è sottoposta al parere preventivo della   </w:t>
            </w:r>
            <w:hyperlink r:id="rId8" w:history="1">
              <w:r w:rsidRPr="00B17BCF">
                <w:rPr>
                  <w:rStyle w:val="Collegamentoipertestuale"/>
                  <w:b/>
                  <w:sz w:val="20"/>
                  <w:szCs w:val="20"/>
                </w:rPr>
                <w:t>CCVLPS</w:t>
              </w:r>
              <w:r w:rsidRPr="00B17BCF">
                <w:rPr>
                  <w:rStyle w:val="Collegamentoipertestuale"/>
                  <w:sz w:val="20"/>
                  <w:szCs w:val="20"/>
                </w:rPr>
                <w:t>.</w:t>
              </w:r>
            </w:hyperlink>
          </w:p>
          <w:p w14:paraId="0E4E22C8" w14:textId="77777777" w:rsidR="00B17BCF" w:rsidRPr="00B44994" w:rsidRDefault="00B17BCF" w:rsidP="00B17BCF">
            <w:pPr>
              <w:pStyle w:val="Paragrafoelenco"/>
              <w:ind w:left="524"/>
              <w:rPr>
                <w:b/>
                <w:bCs/>
                <w:color w:val="0000FF"/>
                <w:u w:val="none"/>
              </w:rPr>
            </w:pPr>
          </w:p>
          <w:p w14:paraId="66990874" w14:textId="77777777" w:rsidR="00B17BCF" w:rsidRPr="00B44994" w:rsidRDefault="00B17BCF" w:rsidP="00B17BCF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B4499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2FF0B5B" w14:textId="148F0410" w:rsidR="00B17BCF" w:rsidRPr="007765BD" w:rsidRDefault="00B17BCF" w:rsidP="00B17BCF">
            <w:pPr>
              <w:spacing w:after="120"/>
              <w:ind w:left="174" w:right="318"/>
              <w:jc w:val="both"/>
              <w:rPr>
                <w:rStyle w:val="Collegamentoipertestuale"/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7765BD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insediare l’attività all’interno di un parco divertimenti o Luna Park presentando al SUAP apposita istanza mediante </w:t>
            </w:r>
            <w:r w:rsidRPr="007765BD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9" w:history="1">
              <w:hyperlink r:id="rId10" w:history="1">
                <w:r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Pr="007765BD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7765BD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038A08C" w14:textId="77777777" w:rsidR="00B17BCF" w:rsidRPr="00DB0C6C" w:rsidRDefault="00B17BCF" w:rsidP="00B17BCF">
            <w:pPr>
              <w:spacing w:before="30" w:after="120"/>
              <w:ind w:left="17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22092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 (Ateco da 90 a 93)</w:t>
            </w:r>
            <w:r w:rsidRPr="00722092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 e divertimento</w:t>
            </w:r>
            <w:r w:rsidRPr="00722092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722092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S</w:t>
            </w:r>
            <w:r w:rsidRPr="003E534A">
              <w:rPr>
                <w:b/>
                <w:bCs/>
                <w:color w:val="auto"/>
                <w:sz w:val="20"/>
                <w:szCs w:val="20"/>
                <w:u w:val="none"/>
              </w:rPr>
              <w:t>pettacolo viaggiante (giostre, luna park, circhi, attrazioni varie)</w:t>
            </w:r>
            <w:r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,</w:t>
            </w:r>
            <w:r w:rsidRPr="003E534A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3E534A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E534A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E534A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E534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DB0C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quindi scegliere tra:</w:t>
            </w:r>
          </w:p>
          <w:p w14:paraId="477412F8" w14:textId="77777777" w:rsidR="00B17BCF" w:rsidRPr="00DB64CD" w:rsidRDefault="00B17BCF" w:rsidP="00B17BCF">
            <w:pPr>
              <w:pStyle w:val="Paragrafoelenco"/>
              <w:numPr>
                <w:ilvl w:val="0"/>
                <w:numId w:val="9"/>
              </w:numPr>
              <w:spacing w:line="256" w:lineRule="auto"/>
              <w:ind w:left="447" w:right="318" w:hanging="283"/>
              <w:jc w:val="both"/>
              <w:rPr>
                <w:rStyle w:val="scelta-evidenziata1"/>
                <w:rFonts w:eastAsia="Times New Roman"/>
                <w:bCs w:val="0"/>
                <w:color w:val="auto"/>
                <w:u w:val="none"/>
                <w:lang w:eastAsia="it-IT"/>
              </w:rPr>
            </w:pPr>
            <w:r w:rsidRPr="00DB64CD">
              <w:rPr>
                <w:rStyle w:val="scelta-evidenziata1"/>
                <w:color w:val="auto"/>
                <w:u w:val="none"/>
              </w:rPr>
              <w:t>Esercitare l'attività temporanea di spettacolo viaggiante nei Luna Park</w:t>
            </w:r>
          </w:p>
          <w:p w14:paraId="4B089487" w14:textId="77777777" w:rsidR="00B17BCF" w:rsidRPr="00DB64CD" w:rsidRDefault="00B17BCF" w:rsidP="00B17BCF">
            <w:pPr>
              <w:pStyle w:val="Paragrafoelenco"/>
              <w:numPr>
                <w:ilvl w:val="0"/>
                <w:numId w:val="9"/>
              </w:numPr>
              <w:spacing w:line="256" w:lineRule="auto"/>
              <w:ind w:left="447" w:right="318" w:hanging="283"/>
              <w:jc w:val="both"/>
              <w:rPr>
                <w:rStyle w:val="scelta-evidenziata1"/>
                <w:rFonts w:eastAsia="Times New Roman"/>
                <w:bCs w:val="0"/>
                <w:color w:val="auto"/>
                <w:u w:val="none"/>
                <w:lang w:eastAsia="it-IT"/>
              </w:rPr>
            </w:pPr>
            <w:r w:rsidRPr="00DB64CD">
              <w:rPr>
                <w:rStyle w:val="scelta-evidenziata1"/>
                <w:color w:val="auto"/>
                <w:u w:val="none"/>
              </w:rPr>
              <w:t>Richiedere la licenza temporanea di spettacolo viaggiante per l'installazione di Giostre</w:t>
            </w:r>
          </w:p>
          <w:p w14:paraId="3815604B" w14:textId="77777777" w:rsidR="00B17BCF" w:rsidRDefault="00B17BCF" w:rsidP="00B17BCF">
            <w:pPr>
              <w:ind w:left="164" w:right="312"/>
              <w:jc w:val="both"/>
            </w:pPr>
          </w:p>
          <w:p w14:paraId="271BDF09" w14:textId="054DF82F" w:rsidR="00B17BCF" w:rsidRPr="00AB5F1E" w:rsidRDefault="001F7502" w:rsidP="00B17BC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1" w:history="1">
              <w:r w:rsidR="00B17BCF" w:rsidRPr="00FE1629">
                <w:rPr>
                  <w:rStyle w:val="Collegamentoipertestuale"/>
                  <w:b/>
                  <w:bCs/>
                </w:rPr>
                <w:t>Alle</w:t>
              </w:r>
              <w:r w:rsidR="00B17BCF" w:rsidRPr="00FE1629">
                <w:rPr>
                  <w:rStyle w:val="Collegamentoipertestuale"/>
                  <w:b/>
                  <w:bCs/>
                </w:rPr>
                <w:t>g</w:t>
              </w:r>
              <w:r w:rsidR="00B17BCF" w:rsidRPr="00FE1629">
                <w:rPr>
                  <w:rStyle w:val="Collegamentoipertestuale"/>
                  <w:b/>
                  <w:bCs/>
                </w:rPr>
                <w:t>ati</w:t>
              </w:r>
            </w:hyperlink>
            <w:r w:rsidR="00B17BCF">
              <w:rPr>
                <w:rStyle w:val="Collegamentoipertestuale"/>
                <w:b/>
                <w:bCs/>
              </w:rPr>
              <w:t xml:space="preserve"> </w:t>
            </w:r>
          </w:p>
          <w:p w14:paraId="7348222D" w14:textId="77777777" w:rsidR="00B17BCF" w:rsidRDefault="00B17BCF" w:rsidP="00B17BC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154043F" w14:textId="06FBA6E7" w:rsidR="00B17BCF" w:rsidRPr="00744B7C" w:rsidRDefault="001F7502" w:rsidP="00B17BC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2" w:history="1">
              <w:r w:rsidR="00B17BCF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B17BCF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 </w:t>
              </w:r>
              <w:r w:rsidR="00B17BCF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</w:hyperlink>
            <w:r w:rsidR="00B17BC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B17BCF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attività</w:t>
            </w:r>
            <w:r w:rsidR="00B17BC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B17BCF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90</w:t>
            </w:r>
            <w:r w:rsidR="00B17BC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B17BCF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93</w:t>
            </w:r>
            <w:r w:rsidR="00B17BC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7F33ADF0" w14:textId="77777777" w:rsidR="00B17BCF" w:rsidRDefault="00B17BCF" w:rsidP="00B17BC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CA4D435" w14:textId="19C62423" w:rsidR="00B17BCF" w:rsidRPr="00A960D3" w:rsidRDefault="00B17BCF" w:rsidP="00B17BCF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E92D29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"Definizioni/5SV%20Tariffe%20spettacolo%20viaggiante.docx"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5A6DF78E" w14:textId="77777777" w:rsidR="00B17BCF" w:rsidRDefault="00B17BCF" w:rsidP="00B17BC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7BED7A1" w14:textId="77777777" w:rsidR="00B17BCF" w:rsidRPr="00042B0E" w:rsidRDefault="00B17BCF" w:rsidP="00B17BCF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18249E75" w14:textId="77777777" w:rsidR="00B17BCF" w:rsidRPr="00A47943" w:rsidRDefault="00B17BCF" w:rsidP="00B17BCF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042B0E">
              <w:rPr>
                <w:b/>
                <w:color w:val="C00000"/>
                <w:u w:val="none"/>
              </w:rPr>
              <w:t>Tempistica</w:t>
            </w:r>
            <w:r>
              <w:rPr>
                <w:b/>
                <w:color w:val="C00000"/>
                <w:u w:val="none"/>
              </w:rPr>
              <w:t xml:space="preserve"> – 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Il SUAP si esprime sull’accoglimento dell’istanza entro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60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 giorni dalla richiesta d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e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ll’istanza telematica. </w:t>
            </w:r>
          </w:p>
          <w:p w14:paraId="4FDFA4D4" w14:textId="77777777" w:rsidR="00B17BCF" w:rsidRPr="00A47943" w:rsidRDefault="00B17BCF" w:rsidP="00B17BCF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Il termine si interrompe per eventuale richiesta di integrazione documentale e riprende ad integrazione avvenuta. </w:t>
            </w:r>
          </w:p>
          <w:p w14:paraId="51C326F1" w14:textId="77777777" w:rsidR="00B17BCF" w:rsidRPr="00A47943" w:rsidRDefault="00B17BCF" w:rsidP="00B17BCF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Decorso detto termine senza alcuna pronuncia si intende consolidato il silenzio assenso. </w:t>
            </w:r>
          </w:p>
          <w:p w14:paraId="46B9C1CB" w14:textId="77777777" w:rsidR="00B17BCF" w:rsidRDefault="00B17BCF" w:rsidP="00B17BCF">
            <w:pPr>
              <w:pStyle w:val="Rientrocorpodeltesto"/>
              <w:spacing w:after="0"/>
              <w:ind w:left="164"/>
              <w:jc w:val="both"/>
            </w:pPr>
          </w:p>
          <w:p w14:paraId="2B8CBEAC" w14:textId="0E4E8750" w:rsidR="00673C1E" w:rsidRPr="005749E3" w:rsidRDefault="001F7502" w:rsidP="00673C1E">
            <w:pPr>
              <w:pStyle w:val="Rientrocorpodeltesto"/>
              <w:spacing w:after="0"/>
              <w:ind w:left="164"/>
              <w:jc w:val="both"/>
              <w:rPr>
                <w:bCs/>
                <w:sz w:val="20"/>
                <w:szCs w:val="20"/>
                <w:u w:val="none"/>
              </w:rPr>
            </w:pPr>
            <w:hyperlink r:id="rId13" w:history="1">
              <w:r w:rsidR="00B17BCF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B17BCF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B17BCF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B17BC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4" w:history="1">
              <w:r w:rsidR="00F123E4" w:rsidRPr="00B65D89">
                <w:rPr>
                  <w:rStyle w:val="Collegamentoipertestuale"/>
                  <w:b/>
                  <w:sz w:val="20"/>
                  <w:szCs w:val="20"/>
                </w:rPr>
                <w:t>Parte 6^ del TUR</w:t>
              </w:r>
            </w:hyperlink>
            <w:r w:rsidR="00673C1E" w:rsidRPr="005749E3">
              <w:rPr>
                <w:b/>
                <w:sz w:val="20"/>
                <w:szCs w:val="20"/>
                <w:u w:val="none"/>
              </w:rPr>
              <w:t xml:space="preserve"> </w:t>
            </w:r>
            <w:r w:rsidR="00673C1E" w:rsidRPr="005749E3">
              <w:rPr>
                <w:bCs/>
                <w:color w:val="auto"/>
                <w:sz w:val="20"/>
                <w:szCs w:val="20"/>
                <w:u w:val="none"/>
              </w:rPr>
              <w:t>Spettacolo viaggiante</w:t>
            </w:r>
          </w:p>
          <w:p w14:paraId="5E8E3906" w14:textId="77777777" w:rsidR="00673C1E" w:rsidRDefault="00673C1E" w:rsidP="003069F4">
            <w:pPr>
              <w:pStyle w:val="Rientrocorpodeltesto"/>
              <w:spacing w:after="60"/>
              <w:ind w:left="164"/>
              <w:jc w:val="both"/>
              <w:rPr>
                <w:b/>
                <w:color w:val="C00000"/>
                <w:u w:val="none"/>
              </w:rPr>
            </w:pPr>
          </w:p>
          <w:p w14:paraId="47ECA3C5" w14:textId="77C3C13F" w:rsidR="003069F4" w:rsidRPr="00F123E4" w:rsidRDefault="003069F4" w:rsidP="003069F4">
            <w:pPr>
              <w:pStyle w:val="Rientrocorpodeltesto"/>
              <w:spacing w:after="60"/>
              <w:ind w:left="164"/>
              <w:jc w:val="both"/>
              <w:rPr>
                <w:rStyle w:val="Collegamentoipertestuale"/>
                <w:b/>
                <w:bCs/>
                <w:sz w:val="20"/>
                <w:szCs w:val="20"/>
              </w:rPr>
            </w:pPr>
            <w:r w:rsidRPr="003069F4">
              <w:rPr>
                <w:b/>
                <w:color w:val="C00000"/>
                <w:u w:val="none"/>
              </w:rPr>
              <w:t>Note:</w:t>
            </w:r>
            <w:r>
              <w:rPr>
                <w:color w:val="C00000"/>
              </w:rPr>
              <w:t xml:space="preserve"> </w:t>
            </w:r>
            <w:hyperlink r:id="rId15" w:history="1">
              <w:r w:rsidRPr="00F123E4">
                <w:rPr>
                  <w:rStyle w:val="Collegamentoipertestuale"/>
                  <w:b/>
                  <w:bCs/>
                  <w:sz w:val="20"/>
                  <w:szCs w:val="20"/>
                </w:rPr>
                <w:t>Caratteristiche aree d’insediamento</w:t>
              </w:r>
            </w:hyperlink>
            <w:r w:rsidRPr="003069F4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       </w:t>
            </w:r>
            <w:r w:rsidR="00F123E4">
              <w:rPr>
                <w:b/>
                <w:sz w:val="20"/>
                <w:szCs w:val="20"/>
              </w:rPr>
              <w:fldChar w:fldCharType="begin"/>
            </w:r>
            <w:r w:rsidR="00F123E4">
              <w:rPr>
                <w:b/>
                <w:sz w:val="20"/>
                <w:szCs w:val="20"/>
              </w:rPr>
              <w:instrText xml:space="preserve"> HYPERLINK "Definizioni/12SV%20Criteri%20generali%20per%20la%20concessione%20delle%20aree.pdf" </w:instrText>
            </w:r>
            <w:r w:rsidR="00F123E4">
              <w:rPr>
                <w:b/>
                <w:sz w:val="20"/>
                <w:szCs w:val="20"/>
              </w:rPr>
              <w:fldChar w:fldCharType="separate"/>
            </w:r>
            <w:r w:rsidRPr="00F123E4">
              <w:rPr>
                <w:rStyle w:val="Collegamentoipertestuale"/>
                <w:b/>
                <w:sz w:val="20"/>
                <w:szCs w:val="20"/>
              </w:rPr>
              <w:t>Criteri generali per la concessione delle aree</w:t>
            </w:r>
          </w:p>
          <w:p w14:paraId="07C7A32E" w14:textId="0A94F8A1" w:rsidR="003069F4" w:rsidRPr="00F123E4" w:rsidRDefault="00F123E4" w:rsidP="003069F4">
            <w:pPr>
              <w:pStyle w:val="Rientrocorpodeltesto"/>
              <w:spacing w:after="60"/>
              <w:ind w:left="164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3069F4" w:rsidRPr="003069F4">
              <w:rPr>
                <w:b/>
                <w:sz w:val="24"/>
                <w:szCs w:val="24"/>
                <w:u w:val="none"/>
              </w:rPr>
              <w:t xml:space="preserve">            </w:t>
            </w:r>
            <w:hyperlink r:id="rId16" w:history="1">
              <w:r w:rsidR="003069F4">
                <w:rPr>
                  <w:rStyle w:val="Collegamentoipertestuale"/>
                  <w:b/>
                  <w:sz w:val="20"/>
                  <w:szCs w:val="20"/>
                </w:rPr>
                <w:t>Sistemazione roulottes e mezzi di trasporto</w:t>
              </w:r>
            </w:hyperlink>
            <w:r w:rsidR="003069F4" w:rsidRPr="003069F4">
              <w:rPr>
                <w:b/>
                <w:sz w:val="20"/>
                <w:szCs w:val="20"/>
                <w:u w:val="none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"Definizioni/14SV%20Sicurezza%20e%20organico%20funzionale.pdf"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3069F4" w:rsidRPr="00F123E4">
              <w:rPr>
                <w:rStyle w:val="Collegamentoipertestuale"/>
                <w:b/>
                <w:sz w:val="20"/>
                <w:szCs w:val="20"/>
              </w:rPr>
              <w:t>Sicurezza e organico funzionale</w:t>
            </w:r>
          </w:p>
          <w:p w14:paraId="14B03B9C" w14:textId="7FAB47EC" w:rsidR="00F850A2" w:rsidRPr="0041512A" w:rsidRDefault="00F123E4" w:rsidP="003069F4">
            <w:pPr>
              <w:pStyle w:val="Rientrocorpodeltesto"/>
              <w:spacing w:after="6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3069F4" w:rsidRPr="003069F4">
              <w:rPr>
                <w:b/>
                <w:color w:val="0000FF"/>
                <w:sz w:val="20"/>
                <w:szCs w:val="20"/>
                <w:u w:val="none"/>
              </w:rPr>
              <w:t xml:space="preserve">              </w:t>
            </w:r>
            <w:hyperlink r:id="rId17" w:history="1">
              <w:r w:rsidR="003069F4">
                <w:rPr>
                  <w:rStyle w:val="Collegamentoipertestuale"/>
                  <w:b/>
                  <w:sz w:val="20"/>
                  <w:szCs w:val="20"/>
                </w:rPr>
                <w:t>Impiego animali</w:t>
              </w:r>
            </w:hyperlink>
          </w:p>
        </w:tc>
      </w:tr>
      <w:tr w:rsidR="003069F4" w14:paraId="50B8A84E" w14:textId="77777777" w:rsidTr="0041512A">
        <w:tc>
          <w:tcPr>
            <w:tcW w:w="9629" w:type="dxa"/>
            <w:gridSpan w:val="3"/>
          </w:tcPr>
          <w:p w14:paraId="007CD9B5" w14:textId="77777777" w:rsidR="003069F4" w:rsidRPr="00B17BCF" w:rsidRDefault="003069F4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</w:tc>
      </w:tr>
    </w:tbl>
    <w:p w14:paraId="344C155C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548"/>
    <w:multiLevelType w:val="hybridMultilevel"/>
    <w:tmpl w:val="3F82C4B2"/>
    <w:lvl w:ilvl="0" w:tplc="0410000F">
      <w:start w:val="1"/>
      <w:numFmt w:val="decimal"/>
      <w:lvlText w:val="%1."/>
      <w:lvlJc w:val="left"/>
      <w:pPr>
        <w:ind w:left="894" w:hanging="360"/>
      </w:pPr>
    </w:lvl>
    <w:lvl w:ilvl="1" w:tplc="04100019" w:tentative="1">
      <w:start w:val="1"/>
      <w:numFmt w:val="lowerLetter"/>
      <w:lvlText w:val="%2."/>
      <w:lvlJc w:val="left"/>
      <w:pPr>
        <w:ind w:left="1614" w:hanging="360"/>
      </w:pPr>
    </w:lvl>
    <w:lvl w:ilvl="2" w:tplc="0410001B" w:tentative="1">
      <w:start w:val="1"/>
      <w:numFmt w:val="lowerRoman"/>
      <w:lvlText w:val="%3."/>
      <w:lvlJc w:val="right"/>
      <w:pPr>
        <w:ind w:left="2334" w:hanging="180"/>
      </w:pPr>
    </w:lvl>
    <w:lvl w:ilvl="3" w:tplc="0410000F" w:tentative="1">
      <w:start w:val="1"/>
      <w:numFmt w:val="decimal"/>
      <w:lvlText w:val="%4."/>
      <w:lvlJc w:val="left"/>
      <w:pPr>
        <w:ind w:left="3054" w:hanging="360"/>
      </w:pPr>
    </w:lvl>
    <w:lvl w:ilvl="4" w:tplc="04100019" w:tentative="1">
      <w:start w:val="1"/>
      <w:numFmt w:val="lowerLetter"/>
      <w:lvlText w:val="%5."/>
      <w:lvlJc w:val="left"/>
      <w:pPr>
        <w:ind w:left="3774" w:hanging="360"/>
      </w:pPr>
    </w:lvl>
    <w:lvl w:ilvl="5" w:tplc="0410001B" w:tentative="1">
      <w:start w:val="1"/>
      <w:numFmt w:val="lowerRoman"/>
      <w:lvlText w:val="%6."/>
      <w:lvlJc w:val="right"/>
      <w:pPr>
        <w:ind w:left="4494" w:hanging="180"/>
      </w:pPr>
    </w:lvl>
    <w:lvl w:ilvl="6" w:tplc="0410000F" w:tentative="1">
      <w:start w:val="1"/>
      <w:numFmt w:val="decimal"/>
      <w:lvlText w:val="%7."/>
      <w:lvlJc w:val="left"/>
      <w:pPr>
        <w:ind w:left="5214" w:hanging="360"/>
      </w:pPr>
    </w:lvl>
    <w:lvl w:ilvl="7" w:tplc="04100019" w:tentative="1">
      <w:start w:val="1"/>
      <w:numFmt w:val="lowerLetter"/>
      <w:lvlText w:val="%8."/>
      <w:lvlJc w:val="left"/>
      <w:pPr>
        <w:ind w:left="5934" w:hanging="360"/>
      </w:pPr>
    </w:lvl>
    <w:lvl w:ilvl="8" w:tplc="0410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51B54F3"/>
    <w:multiLevelType w:val="hybridMultilevel"/>
    <w:tmpl w:val="683A18D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3DB5131B"/>
    <w:multiLevelType w:val="hybridMultilevel"/>
    <w:tmpl w:val="A38A52CC"/>
    <w:lvl w:ilvl="0" w:tplc="C9229E24">
      <w:start w:val="1"/>
      <w:numFmt w:val="lowerLetter"/>
      <w:lvlText w:val="%1)"/>
      <w:lvlJc w:val="left"/>
      <w:pPr>
        <w:ind w:left="786" w:hanging="360"/>
      </w:pPr>
      <w:rPr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B2873F3"/>
    <w:multiLevelType w:val="hybridMultilevel"/>
    <w:tmpl w:val="EB56C458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E4B7E"/>
    <w:rsid w:val="000F3ADF"/>
    <w:rsid w:val="00101C27"/>
    <w:rsid w:val="00112873"/>
    <w:rsid w:val="00117F1E"/>
    <w:rsid w:val="0017049A"/>
    <w:rsid w:val="001F7502"/>
    <w:rsid w:val="00205D68"/>
    <w:rsid w:val="002210DE"/>
    <w:rsid w:val="0023487B"/>
    <w:rsid w:val="00276654"/>
    <w:rsid w:val="002A5D7C"/>
    <w:rsid w:val="002A6285"/>
    <w:rsid w:val="002B00EB"/>
    <w:rsid w:val="002B375D"/>
    <w:rsid w:val="002E1FAC"/>
    <w:rsid w:val="00301BDC"/>
    <w:rsid w:val="003069F4"/>
    <w:rsid w:val="00342D58"/>
    <w:rsid w:val="003A4A32"/>
    <w:rsid w:val="003C5FBA"/>
    <w:rsid w:val="003D706E"/>
    <w:rsid w:val="003E534A"/>
    <w:rsid w:val="0041512A"/>
    <w:rsid w:val="004257E1"/>
    <w:rsid w:val="0044342C"/>
    <w:rsid w:val="0045341A"/>
    <w:rsid w:val="004704B5"/>
    <w:rsid w:val="00493BD0"/>
    <w:rsid w:val="004F3CF0"/>
    <w:rsid w:val="004F59C5"/>
    <w:rsid w:val="004F667B"/>
    <w:rsid w:val="00506E58"/>
    <w:rsid w:val="00516617"/>
    <w:rsid w:val="005930C1"/>
    <w:rsid w:val="005B4008"/>
    <w:rsid w:val="005C68B2"/>
    <w:rsid w:val="005C720B"/>
    <w:rsid w:val="00621A5C"/>
    <w:rsid w:val="00651378"/>
    <w:rsid w:val="00673C1E"/>
    <w:rsid w:val="00692827"/>
    <w:rsid w:val="006A1BF0"/>
    <w:rsid w:val="006B29D2"/>
    <w:rsid w:val="006B3A13"/>
    <w:rsid w:val="006C7151"/>
    <w:rsid w:val="00703DA3"/>
    <w:rsid w:val="00705665"/>
    <w:rsid w:val="00713CEA"/>
    <w:rsid w:val="00720867"/>
    <w:rsid w:val="00722092"/>
    <w:rsid w:val="00737DA2"/>
    <w:rsid w:val="00746376"/>
    <w:rsid w:val="0075509D"/>
    <w:rsid w:val="007765BD"/>
    <w:rsid w:val="008162B9"/>
    <w:rsid w:val="0082478D"/>
    <w:rsid w:val="00897F79"/>
    <w:rsid w:val="00945B26"/>
    <w:rsid w:val="009A4645"/>
    <w:rsid w:val="00A06B50"/>
    <w:rsid w:val="00AA458C"/>
    <w:rsid w:val="00AE65BE"/>
    <w:rsid w:val="00B0731C"/>
    <w:rsid w:val="00B17BCF"/>
    <w:rsid w:val="00B66F7C"/>
    <w:rsid w:val="00BF42AE"/>
    <w:rsid w:val="00C13D1A"/>
    <w:rsid w:val="00C459E8"/>
    <w:rsid w:val="00C75D34"/>
    <w:rsid w:val="00C920D1"/>
    <w:rsid w:val="00CD592E"/>
    <w:rsid w:val="00D16B5E"/>
    <w:rsid w:val="00D230CA"/>
    <w:rsid w:val="00D33705"/>
    <w:rsid w:val="00D401E7"/>
    <w:rsid w:val="00DC5DC3"/>
    <w:rsid w:val="00DF0435"/>
    <w:rsid w:val="00E07E20"/>
    <w:rsid w:val="00E25843"/>
    <w:rsid w:val="00E660BB"/>
    <w:rsid w:val="00E72770"/>
    <w:rsid w:val="00E92D29"/>
    <w:rsid w:val="00EB1403"/>
    <w:rsid w:val="00EE371A"/>
    <w:rsid w:val="00F123E4"/>
    <w:rsid w:val="00F2381A"/>
    <w:rsid w:val="00F312D0"/>
    <w:rsid w:val="00F33A15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658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character" w:customStyle="1" w:styleId="scelta-evidenziata1">
    <w:name w:val="scelta-evidenziata1"/>
    <w:basedOn w:val="Carpredefinitoparagrafo"/>
    <w:rsid w:val="00D23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5%20Settore%20Polizia%20Amministrativa/PA11%20Agibilit&#224;%20pubblici%20spettacoli.docx" TargetMode="External"/><Relationship Id="rId13" Type="http://schemas.openxmlformats.org/officeDocument/2006/relationships/hyperlink" Target="file:///C:\Walter\sportello%20unico\Progetto%20PUC\PUC\5%20Procedimenti\Definizioni\Riferimenti%20normativi%20e%20di%20controllo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efinizioni/2SV%20Requisiti%20soggettivi.pdf" TargetMode="External"/><Relationship Id="rId12" Type="http://schemas.openxmlformats.org/officeDocument/2006/relationships/hyperlink" Target="../../ATECO/Ateco%20Arte_Sport.xlsx" TargetMode="External"/><Relationship Id="rId17" Type="http://schemas.openxmlformats.org/officeDocument/2006/relationships/hyperlink" Target="Definizioni/15SV%20Impiego%20animali.pdf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3SV%20Roulott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10%20Leggi/Leggi%206%20Spettacolo%20Viaggiante/elencoattrazioni2016.pdf" TargetMode="External"/><Relationship Id="rId11" Type="http://schemas.openxmlformats.org/officeDocument/2006/relationships/hyperlink" Target="Definizioni/4SV%20Allegati.docx" TargetMode="External"/><Relationship Id="rId5" Type="http://schemas.openxmlformats.org/officeDocument/2006/relationships/hyperlink" Target="../../CONTATTI/CONTATTI_LC.docx" TargetMode="External"/><Relationship Id="rId15" Type="http://schemas.openxmlformats.org/officeDocument/2006/relationships/hyperlink" Target="Definizioni/11SV%20Caratteristiche%20aree%20insediamento.pdf" TargetMode="External"/><Relationship Id="rId10" Type="http://schemas.openxmlformats.org/officeDocument/2006/relationships/hyperlink" Target="http://www.impresainungiorno.gov.it/web/guest/comune?codCatastale=L5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file:///C:\Walter\sportello%20unico\Progetto%20PUC\TUR\Parte%206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23</cp:revision>
  <dcterms:created xsi:type="dcterms:W3CDTF">2018-08-01T14:53:00Z</dcterms:created>
  <dcterms:modified xsi:type="dcterms:W3CDTF">2021-05-12T09:11:00Z</dcterms:modified>
</cp:coreProperties>
</file>